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CEB62BD"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DD0DF2">
              <w:rPr>
                <w:rFonts w:ascii="Times New Roman" w:hAnsi="Times New Roman" w:cs="Times New Roman"/>
                <w:b/>
                <w:sz w:val="24"/>
                <w:szCs w:val="24"/>
              </w:rPr>
              <w:t>Viki - Kurevere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5E06A3">
              <w:rPr>
                <w:rFonts w:ascii="Times New Roman" w:hAnsi="Times New Roman" w:cs="Times New Roman"/>
                <w:b/>
                <w:sz w:val="24"/>
                <w:szCs w:val="24"/>
              </w:rPr>
              <w:t>12</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DD0DF2">
              <w:rPr>
                <w:rFonts w:ascii="Times New Roman" w:hAnsi="Times New Roman" w:cs="Times New Roman"/>
                <w:b/>
                <w:sz w:val="24"/>
                <w:szCs w:val="24"/>
              </w:rPr>
              <w:t>0,790 – 1,000</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258FC6E3" w:rsidR="00CF591D" w:rsidRDefault="00DD0DF2"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32825122"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D0DF2">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DD0DF2">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64F4F1E4"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DD0DF2">
              <w:rPr>
                <w:rFonts w:ascii="Times New Roman" w:hAnsi="Times New Roman" w:cs="Times New Roman"/>
                <w:b/>
                <w:sz w:val="24"/>
                <w:szCs w:val="24"/>
              </w:rPr>
              <w:t>Viki - Kurevere</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DD0DF2">
              <w:rPr>
                <w:rFonts w:ascii="Times New Roman" w:hAnsi="Times New Roman" w:cs="Times New Roman"/>
                <w:b/>
                <w:sz w:val="24"/>
                <w:szCs w:val="24"/>
              </w:rPr>
              <w:t>82</w:t>
            </w:r>
            <w:r w:rsidR="00E94439">
              <w:rPr>
                <w:rFonts w:ascii="Times New Roman" w:hAnsi="Times New Roman" w:cs="Times New Roman"/>
                <w:b/>
                <w:sz w:val="24"/>
                <w:szCs w:val="24"/>
              </w:rPr>
              <w:t xml:space="preserve"> km </w:t>
            </w:r>
            <w:r w:rsidR="00DD0DF2">
              <w:rPr>
                <w:rFonts w:ascii="Times New Roman" w:hAnsi="Times New Roman" w:cs="Times New Roman"/>
                <w:b/>
                <w:sz w:val="24"/>
                <w:szCs w:val="24"/>
              </w:rPr>
              <w:t>0,790 – 1,000</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0478A84D" w:rsidR="00CB17F3" w:rsidRDefault="00DD0DF2"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398279D4"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DD0DF2">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DD0DF2">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23392861">
    <w:abstractNumId w:val="1"/>
  </w:num>
  <w:num w:numId="2" w16cid:durableId="112993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465E1"/>
    <w:rsid w:val="00CA24E1"/>
    <w:rsid w:val="00CB17F3"/>
    <w:rsid w:val="00CF591D"/>
    <w:rsid w:val="00D04FE2"/>
    <w:rsid w:val="00D16945"/>
    <w:rsid w:val="00D16F24"/>
    <w:rsid w:val="00DD0DF2"/>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505</Words>
  <Characters>2929</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2025-03-19T06:01:00Z</dcterms:modified>
</cp:coreProperties>
</file>